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6EB3">
      <w:pPr>
        <w:pStyle w:val="c7e0e3eeebeee2eeea1"/>
        <w:rPr>
          <w:rFonts w:cstheme="minorBidi"/>
          <w:bCs w:val="0"/>
        </w:rPr>
      </w:pPr>
      <w:bookmarkStart w:id="0" w:name="_GoBack"/>
      <w:bookmarkEnd w:id="0"/>
    </w:p>
    <w:p w:rsidR="00000000" w:rsidRDefault="002D6EB3">
      <w:pPr>
        <w:pStyle w:val="c7e0e3eeebeee2eeea1"/>
        <w:rPr>
          <w:rFonts w:cstheme="minorBidi"/>
          <w:bCs w:val="0"/>
        </w:rPr>
      </w:pP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Закон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Астраханской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област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и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от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12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ноября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2007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г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. N 66/2007-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ОЗ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"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Об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отдельных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вопросах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правового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регулирования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градостроительной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деятельности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в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Астраханской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 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>области</w:t>
      </w:r>
      <w:r>
        <w:rPr>
          <w:rStyle w:val="c3e8efe5f0f2e5eaf1f2eee2e0fff1f1fbebeae0"/>
          <w:rFonts w:ascii="Times New Roman" w:hAnsi="Times New Roman" w:cstheme="minorBidi"/>
          <w:bCs w:val="0"/>
          <w:color w:val="000000"/>
        </w:rPr>
        <w:t xml:space="preserve">" </w:t>
      </w:r>
    </w:p>
    <w:p w:rsidR="00000000" w:rsidRDefault="002D6EB3">
      <w:pPr>
        <w:pStyle w:val="c7e0e3eeebeee2eeea1"/>
        <w:rPr>
          <w:rFonts w:cstheme="minorBidi"/>
          <w:bCs w:val="0"/>
        </w:rPr>
      </w:pPr>
    </w:p>
    <w:p w:rsidR="00000000" w:rsidRDefault="002D6EB3">
      <w:pPr>
        <w:pStyle w:val="c7e0e3eeebeee2eeeaf1f2e0f2fce8"/>
        <w:rPr>
          <w:rFonts w:cstheme="minorBidi"/>
        </w:rPr>
      </w:pPr>
      <w:r>
        <w:rPr>
          <w:rStyle w:val="d6e2e5f2eee2eee5e2fbe4e5ebe5ede8e5"/>
          <w:rFonts w:ascii="Times New Roman" w:hAnsi="Times New Roman" w:cstheme="minorBidi"/>
          <w:bCs w:val="0"/>
          <w:color w:val="000000"/>
        </w:rPr>
        <w:t>Статья</w:t>
      </w:r>
      <w:r>
        <w:rPr>
          <w:rStyle w:val="d6e2e5f2eee2eee5e2fbe4e5ebe5ede8e5"/>
          <w:rFonts w:ascii="Times New Roman" w:hAnsi="Times New Roman" w:cstheme="minorBidi"/>
          <w:bCs w:val="0"/>
          <w:color w:val="000000"/>
        </w:rPr>
        <w:t xml:space="preserve"> 13.2.</w:t>
      </w:r>
      <w:r>
        <w:rPr>
          <w:rFonts w:ascii="Times New Roman" w:hAnsi="Times New Roman" w:cstheme="minorBidi"/>
          <w:color w:val="000000"/>
        </w:rPr>
        <w:t xml:space="preserve"> </w:t>
      </w:r>
      <w:r>
        <w:rPr>
          <w:rFonts w:ascii="Times New Roman" w:hAnsi="Times New Roman" w:cstheme="minorBidi"/>
          <w:color w:val="000000"/>
        </w:rPr>
        <w:t>Случаи</w:t>
      </w:r>
      <w:r>
        <w:rPr>
          <w:rFonts w:ascii="Times New Roman" w:hAnsi="Times New Roman" w:cstheme="minorBidi"/>
          <w:color w:val="000000"/>
        </w:rPr>
        <w:t xml:space="preserve">, </w:t>
      </w:r>
      <w:r>
        <w:rPr>
          <w:rFonts w:ascii="Times New Roman" w:hAnsi="Times New Roman" w:cstheme="minorBidi"/>
          <w:color w:val="000000"/>
        </w:rPr>
        <w:t>не</w:t>
      </w:r>
      <w:r>
        <w:rPr>
          <w:rFonts w:ascii="Times New Roman" w:hAnsi="Times New Roman" w:cstheme="minorBidi"/>
          <w:color w:val="000000"/>
        </w:rPr>
        <w:t xml:space="preserve"> </w:t>
      </w:r>
      <w:r>
        <w:rPr>
          <w:rFonts w:ascii="Times New Roman" w:hAnsi="Times New Roman" w:cstheme="minorBidi"/>
          <w:color w:val="000000"/>
        </w:rPr>
        <w:t>требующие</w:t>
      </w:r>
      <w:r>
        <w:rPr>
          <w:rFonts w:ascii="Times New Roman" w:hAnsi="Times New Roman" w:cstheme="minorBidi"/>
          <w:color w:val="000000"/>
        </w:rPr>
        <w:t xml:space="preserve"> </w:t>
      </w:r>
      <w:r>
        <w:rPr>
          <w:rFonts w:ascii="Times New Roman" w:hAnsi="Times New Roman" w:cstheme="minorBidi"/>
          <w:color w:val="000000"/>
        </w:rPr>
        <w:t>выдачи</w:t>
      </w:r>
      <w:r>
        <w:rPr>
          <w:rFonts w:ascii="Times New Roman" w:hAnsi="Times New Roman" w:cstheme="minorBidi"/>
          <w:color w:val="000000"/>
        </w:rPr>
        <w:t xml:space="preserve"> </w:t>
      </w:r>
      <w:r>
        <w:rPr>
          <w:rFonts w:ascii="Times New Roman" w:hAnsi="Times New Roman" w:cstheme="minorBidi"/>
          <w:color w:val="000000"/>
        </w:rPr>
        <w:t>разрешения</w:t>
      </w:r>
      <w:r>
        <w:rPr>
          <w:rFonts w:ascii="Times New Roman" w:hAnsi="Times New Roman" w:cstheme="minorBidi"/>
          <w:color w:val="000000"/>
        </w:rPr>
        <w:t xml:space="preserve"> </w:t>
      </w:r>
      <w:r>
        <w:rPr>
          <w:rFonts w:ascii="Times New Roman" w:hAnsi="Times New Roman" w:cstheme="minorBidi"/>
          <w:color w:val="000000"/>
        </w:rPr>
        <w:t>на</w:t>
      </w:r>
      <w:r>
        <w:rPr>
          <w:rFonts w:ascii="Times New Roman" w:hAnsi="Times New Roman" w:cstheme="minorBidi"/>
          <w:color w:val="000000"/>
        </w:rPr>
        <w:t xml:space="preserve"> </w:t>
      </w:r>
      <w:r>
        <w:rPr>
          <w:rFonts w:ascii="Times New Roman" w:hAnsi="Times New Roman" w:cstheme="minorBidi"/>
          <w:color w:val="000000"/>
        </w:rPr>
        <w:t>строительство</w:t>
      </w:r>
    </w:p>
    <w:p w:rsidR="00000000" w:rsidRDefault="002D6EB3">
      <w:pPr>
        <w:pStyle w:val="c7e0e3eeebeee2eeeaf1f2e0f2fce8"/>
        <w:rPr>
          <w:rFonts w:cstheme="minorBidi"/>
        </w:rPr>
      </w:pPr>
    </w:p>
    <w:p w:rsidR="00000000" w:rsidRDefault="002D6EB3">
      <w:pPr>
        <w:pStyle w:val="c7e0e3eeebeee2eeeaf1f2e0f2fce8"/>
        <w:rPr>
          <w:rFonts w:cstheme="minorBidi"/>
        </w:rPr>
      </w:pPr>
    </w:p>
    <w:p w:rsidR="00000000" w:rsidRDefault="002D6EB3">
      <w:pPr>
        <w:rPr>
          <w:rFonts w:cstheme="minorBidi"/>
        </w:rPr>
      </w:pPr>
      <w:r>
        <w:rPr>
          <w:rStyle w:val="d6e2e5f2eee2eee5e2fbe4e5ebe5ede8e5e4ebffd2e5eaf1f2"/>
          <w:rFonts w:ascii="Times New Roman" w:hAnsi="Times New Roman" w:cstheme="minorBidi"/>
          <w:color w:val="000000"/>
        </w:rPr>
        <w:t>Получение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разрешения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помимо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случаев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установленных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hyperlink r:id="rId6" w:history="1">
        <w:r>
          <w:rPr>
            <w:rStyle w:val="c3e8efe5f0f2e5eaf1f2eee2e0fff1f1fbebeae0"/>
            <w:rFonts w:ascii="Times New Roman" w:hAnsi="Times New Roman" w:cstheme="minorBidi"/>
            <w:color w:val="000000"/>
          </w:rPr>
          <w:t>частью 17 статьи 51</w:t>
        </w:r>
      </w:hyperlink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Градостроительного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кодекса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Российской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Федерации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требуется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случаях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реконструкции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:</w:t>
      </w:r>
    </w:p>
    <w:p w:rsidR="00000000" w:rsidRDefault="002D6EB3">
      <w:pPr>
        <w:rPr>
          <w:rFonts w:cstheme="minorBidi"/>
        </w:rPr>
      </w:pPr>
      <w:bookmarkStart w:id="1" w:name="sub_1321"/>
      <w:bookmarkEnd w:id="1"/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1)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временных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зданий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,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строений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сооружений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том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числе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инженерных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сетей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необходимых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для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организации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объекта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капитального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границах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предоставленного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земельного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участка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согласно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проекту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организации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условии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его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соответствия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hyperlink r:id="rId7" w:history="1">
        <w:r>
          <w:rPr>
            <w:rStyle w:val="c3e8efe5f0f2e5eaf1f2eee2e0fff1f1fbebeae0"/>
            <w:rFonts w:ascii="Times New Roman" w:hAnsi="Times New Roman" w:cstheme="minorBidi"/>
            <w:color w:val="000000"/>
          </w:rPr>
          <w:t>законодательству</w:t>
        </w:r>
      </w:hyperlink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градостроительной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деятельности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;</w:t>
      </w:r>
    </w:p>
    <w:p w:rsidR="00000000" w:rsidRDefault="002D6EB3">
      <w:pPr>
        <w:rPr>
          <w:rFonts w:cstheme="minorBidi"/>
        </w:rPr>
      </w:pPr>
      <w:bookmarkStart w:id="2" w:name="sub_13221"/>
      <w:bookmarkStart w:id="3" w:name="sub_1322"/>
      <w:bookmarkEnd w:id="2"/>
      <w:bookmarkEnd w:id="3"/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2)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сетей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инженерно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-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технического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обеспечения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являющихся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функционально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частью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объекта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капитального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ьства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выходящих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за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пределы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земельного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участка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отведенного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под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данного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объекта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проектирование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которых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осуществлялось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основании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технических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условий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составе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проектной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документации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объекта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капитального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;</w:t>
      </w:r>
    </w:p>
    <w:p w:rsidR="00000000" w:rsidRDefault="002D6EB3">
      <w:pPr>
        <w:rPr>
          <w:rFonts w:cstheme="minorBidi"/>
        </w:rPr>
      </w:pPr>
      <w:bookmarkStart w:id="4" w:name="sub_13231"/>
      <w:bookmarkStart w:id="5" w:name="sub_1323"/>
      <w:bookmarkEnd w:id="4"/>
      <w:bookmarkEnd w:id="5"/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3)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сооружений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предназначенных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для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обслуживания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линейных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объектов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предусмотренных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проектной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документацией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данных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объектов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;</w:t>
      </w:r>
    </w:p>
    <w:p w:rsidR="00000000" w:rsidRDefault="002D6EB3">
      <w:pPr>
        <w:rPr>
          <w:rFonts w:cstheme="minorBidi"/>
        </w:rPr>
      </w:pP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4)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электрических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сетей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классом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напряжения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35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включительно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осуществляемых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соответствии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договором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техн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ологическое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присоединение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энергопринимающих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устройств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потребителей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электрической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энергии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мощностью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670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кВт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включительно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электрическим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сетям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наличии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проектной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документации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разрешения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органа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местного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самоуправления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поселения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городского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округа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проведение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земляных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работ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либо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разрешения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органа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местного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самоуправления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муниципального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района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проведение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внутрихозяйственных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работ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связанных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нарушением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почвенного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покрова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;</w:t>
      </w:r>
    </w:p>
    <w:p w:rsidR="00000000" w:rsidRDefault="002D6EB3">
      <w:pPr>
        <w:rPr>
          <w:rFonts w:cstheme="minorBidi"/>
        </w:rPr>
      </w:pP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5)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водопроводных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сетей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диаметром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300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включительно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осуществляемых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оответствии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договором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подключении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(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технологическом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присоединении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)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объекта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капитального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централизованным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системам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холодного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водоснабжения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наличии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разрешения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органа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местного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самоуправления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поселения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городского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округа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проведение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з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емляных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работ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либо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разрешения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органа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местного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самоуправления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муниципального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района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проведение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внутрихозяйственных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работ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связанных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нарушением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почвенного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покрова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;</w:t>
      </w:r>
    </w:p>
    <w:p w:rsidR="002D6EB3" w:rsidRDefault="002D6EB3">
      <w:pPr>
        <w:rPr>
          <w:rFonts w:cstheme="minorBidi"/>
        </w:rPr>
      </w:pP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6)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канализационных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сетей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диаметром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300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включительно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осуществляемых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соответствии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договором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подключении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(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технологическом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присоединении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)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объекта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капитального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строительства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к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централизованным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системам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водоотведения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наличии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разрешения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органа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местного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самоуправления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поселения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городского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округа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проведение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земляных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работ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либо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зрешения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органа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местного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самоуправления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муниципального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района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проведение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внутрихозяйственных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работ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,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связанных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с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нарушением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почвенного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 xml:space="preserve"> 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покрова</w:t>
      </w:r>
      <w:r>
        <w:rPr>
          <w:rStyle w:val="d6e2e5f2eee2eee5e2fbe4e5ebe5ede8e5e4ebffd2e5eaf1f2"/>
          <w:rFonts w:ascii="Times New Roman" w:hAnsi="Times New Roman" w:cstheme="minorBidi"/>
          <w:color w:val="000000"/>
        </w:rPr>
        <w:t>.</w:t>
      </w:r>
    </w:p>
    <w:sectPr w:rsidR="002D6EB3">
      <w:footerReference w:type="default" r:id="rId8"/>
      <w:type w:val="continuous"/>
      <w:pgSz w:w="11906" w:h="16800"/>
      <w:pgMar w:top="720" w:right="800" w:bottom="1440" w:left="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B3" w:rsidRDefault="002D6EB3">
      <w:r>
        <w:separator/>
      </w:r>
    </w:p>
  </w:endnote>
  <w:endnote w:type="continuationSeparator" w:id="0">
    <w:p w:rsidR="002D6EB3" w:rsidRDefault="002D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2"/>
      <w:gridCol w:w="3431"/>
      <w:gridCol w:w="3435"/>
    </w:tblGrid>
    <w:tr w:rsidR="00000000"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00000" w:rsidRDefault="002D6EB3">
          <w:pPr>
            <w:pStyle w:val="cde8e6ede8e9eaeeebeeedf2e8f2f3eb"/>
          </w:pPr>
          <w:r>
            <w:fldChar w:fldCharType="begin"/>
          </w:r>
          <w:r>
            <w:instrText xml:space="preserve"> DATE \@"dd\.MM\.yyyy" </w:instrText>
          </w:r>
          <w:r>
            <w:fldChar w:fldCharType="separate"/>
          </w:r>
          <w:r w:rsidR="00FB0F3B">
            <w:rPr>
              <w:noProof/>
            </w:rPr>
            <w:t>18.08.2021</w:t>
          </w:r>
          <w:r>
            <w:fldChar w:fldCharType="end"/>
          </w:r>
          <w:r>
            <w:t xml:space="preserve"> </w:t>
          </w:r>
        </w:p>
      </w:tc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:rsidR="00000000" w:rsidRDefault="002D6EB3">
          <w:pPr>
            <w:pStyle w:val="cde8e6ede8e9eaeeebeeedf2e8f2f3eb"/>
            <w:jc w:val="center"/>
            <w:rPr>
              <w:rFonts w:cstheme="minorBidi"/>
              <w:szCs w:val="24"/>
            </w:rPr>
          </w:pPr>
          <w:r>
            <w:rPr>
              <w:rFonts w:cstheme="minorBidi"/>
              <w:szCs w:val="24"/>
            </w:rPr>
            <w:t>Система</w:t>
          </w:r>
          <w:r>
            <w:rPr>
              <w:rFonts w:cstheme="minorBidi"/>
              <w:szCs w:val="24"/>
            </w:rPr>
            <w:t xml:space="preserve"> </w:t>
          </w:r>
          <w:r>
            <w:rPr>
              <w:rFonts w:cstheme="minorBidi"/>
              <w:szCs w:val="24"/>
            </w:rPr>
            <w:t>ГАРАНТ</w:t>
          </w:r>
        </w:p>
      </w:tc>
      <w:tc>
        <w:tcPr>
          <w:tcW w:w="3435" w:type="dxa"/>
          <w:tcBorders>
            <w:top w:val="nil"/>
            <w:left w:val="nil"/>
            <w:bottom w:val="nil"/>
            <w:right w:val="nil"/>
          </w:tcBorders>
        </w:tcPr>
        <w:p w:rsidR="00000000" w:rsidRDefault="002D6EB3">
          <w:pPr>
            <w:pStyle w:val="cde8e6ede8e9eaeeebeeedf2e8f2f3eb"/>
            <w:jc w:val="right"/>
            <w:rPr>
              <w:rFonts w:cstheme="minorBidi"/>
              <w:szCs w:val="24"/>
            </w:rPr>
          </w:pPr>
          <w:r>
            <w:rPr>
              <w:rFonts w:cstheme="minorBidi"/>
              <w:szCs w:val="24"/>
            </w:rPr>
            <w:fldChar w:fldCharType="begin"/>
          </w:r>
          <w:r>
            <w:rPr>
              <w:rFonts w:cstheme="minorBidi"/>
              <w:szCs w:val="24"/>
            </w:rPr>
            <w:instrText xml:space="preserve"> PAGE </w:instrText>
          </w:r>
          <w:r>
            <w:rPr>
              <w:rFonts w:cstheme="minorBidi"/>
              <w:szCs w:val="24"/>
            </w:rPr>
            <w:fldChar w:fldCharType="separate"/>
          </w:r>
          <w:r w:rsidR="00FB0F3B">
            <w:rPr>
              <w:rFonts w:cstheme="minorBidi"/>
              <w:noProof/>
              <w:szCs w:val="24"/>
            </w:rPr>
            <w:t>1</w:t>
          </w:r>
          <w:r>
            <w:rPr>
              <w:rFonts w:cstheme="minorBidi"/>
              <w:szCs w:val="24"/>
            </w:rPr>
            <w:fldChar w:fldCharType="end"/>
          </w:r>
          <w:r>
            <w:rPr>
              <w:rFonts w:cstheme="minorBidi"/>
              <w:szCs w:val="24"/>
            </w:rPr>
            <w:t>/</w:t>
          </w:r>
          <w:r>
            <w:rPr>
              <w:rFonts w:cstheme="minorBidi"/>
              <w:szCs w:val="24"/>
            </w:rPr>
            <w:fldChar w:fldCharType="begin"/>
          </w:r>
          <w:r>
            <w:rPr>
              <w:rFonts w:cstheme="minorBidi"/>
              <w:szCs w:val="24"/>
            </w:rPr>
            <w:instrText xml:space="preserve"> NUMPAGES </w:instrText>
          </w:r>
          <w:r>
            <w:rPr>
              <w:rFonts w:cstheme="minorBidi"/>
              <w:szCs w:val="24"/>
            </w:rPr>
            <w:fldChar w:fldCharType="separate"/>
          </w:r>
          <w:r w:rsidR="00FB0F3B">
            <w:rPr>
              <w:rFonts w:cstheme="minorBidi"/>
              <w:noProof/>
              <w:szCs w:val="24"/>
            </w:rPr>
            <w:t>1</w:t>
          </w:r>
          <w:r>
            <w:rPr>
              <w:rFonts w:cstheme="minorBidi"/>
              <w:szCs w:val="24"/>
            </w:rPr>
            <w:fldChar w:fldCharType="end"/>
          </w:r>
        </w:p>
      </w:tc>
    </w:tr>
  </w:tbl>
  <w:p w:rsidR="00000000" w:rsidRDefault="002D6EB3">
    <w:pPr>
      <w:rPr>
        <w:rFonts w:ascii="Arial" w:hAnsi="Arial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B3" w:rsidRDefault="002D6EB3">
      <w:r>
        <w:rPr>
          <w:rFonts w:ascii="Liberation Serif" w:eastAsiaTheme="minorEastAsia" w:cstheme="minorBidi"/>
          <w:kern w:val="0"/>
          <w:lang w:bidi="ar-SA"/>
        </w:rPr>
        <w:separator/>
      </w:r>
    </w:p>
  </w:footnote>
  <w:footnote w:type="continuationSeparator" w:id="0">
    <w:p w:rsidR="002D6EB3" w:rsidRDefault="002D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3B"/>
    <w:rsid w:val="002D6EB3"/>
    <w:rsid w:val="00F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6D18BD-75F5-498C-A1D4-40DB5CEE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Pr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bCs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</w:style>
  <w:style w:type="character" w:customStyle="1" w:styleId="ListLabel1">
    <w:name w:val="ListLabel 1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2">
    <w:name w:val="ListLabel 2"/>
    <w:uiPriority w:val="99"/>
    <w:rPr>
      <w:shd w:val="clear" w:color="auto" w:fill="F0F0F0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autoSpaceDE w:val="0"/>
      <w:autoSpaceDN w:val="0"/>
      <w:adjustRightInd w:val="0"/>
      <w:spacing w:before="75" w:after="0" w:line="240" w:lineRule="auto"/>
      <w:ind w:left="170"/>
    </w:pPr>
    <w:rPr>
      <w:rFonts w:ascii="Liberation Serif" w:eastAsia="Times New Roman" w:hAnsi="Liberation Serif" w:cs="Liberation Serif"/>
      <w:color w:val="353842"/>
      <w:kern w:val="1"/>
      <w:sz w:val="24"/>
      <w:szCs w:val="24"/>
      <w:lang w:eastAsia="zh-CN" w:bidi="hi-IN"/>
    </w:rPr>
  </w:style>
  <w:style w:type="paragraph" w:customStyle="1" w:styleId="d2e5eaf1f2f1eff0e0e2eae0">
    <w:name w:val="Тd2еe5кeaсf1тf2 (сf1пefрf0аe0вe2кeaаe0)"/>
    <w:basedOn w:val="a"/>
    <w:uiPriority w:val="99"/>
    <w:pPr>
      <w:ind w:left="170" w:right="170" w:firstLine="0"/>
      <w:jc w:val="left"/>
    </w:pPr>
  </w:style>
  <w:style w:type="paragraph" w:customStyle="1" w:styleId="c7e0e3eeebeee2eeeaf1f2e0f2fce8">
    <w:name w:val="Зc7аe0гe3оeeлebоeeвe2оeeкea сf1тf2аe0тf2ьfcиe8"/>
    <w:basedOn w:val="a"/>
    <w:uiPriority w:val="99"/>
    <w:pPr>
      <w:ind w:left="1612" w:hanging="892"/>
    </w:p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</w:style>
  <w:style w:type="paragraph" w:customStyle="1" w:styleId="c8edf4eef0ece0f6e8ffeee2e5f0f1e8e8">
    <w:name w:val="Иc8нedфf4оeeрf0мecаe0цf6иe8яff оee вe2еe5рf0сf1иe8иe8"/>
    <w:basedOn w:val="caeeecece5edf2e0f0e8e9"/>
    <w:uiPriority w:val="99"/>
    <w:pPr>
      <w:suppressAutoHyphens w:val="0"/>
    </w:pPr>
    <w:rPr>
      <w:rFonts w:eastAsiaTheme="minorEastAsia" w:cstheme="minorBidi"/>
      <w:i/>
      <w:iCs/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ind w:firstLine="0"/>
      <w:jc w:val="center"/>
    </w:pPr>
    <w:rPr>
      <w:rFonts w:ascii="Times New Roman" w:cs="Times New Roman"/>
      <w:sz w:val="20"/>
      <w:szCs w:val="2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ind w:firstLine="0"/>
      <w:jc w:val="left"/>
    </w:pPr>
    <w:rPr>
      <w:rFonts w:asci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38258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58/510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ГПАО СРО НП</cp:lastModifiedBy>
  <cp:revision>2</cp:revision>
  <dcterms:created xsi:type="dcterms:W3CDTF">2021-08-18T08:39:00Z</dcterms:created>
  <dcterms:modified xsi:type="dcterms:W3CDTF">2021-08-18T08:39:00Z</dcterms:modified>
</cp:coreProperties>
</file>