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40" w:before="0" w:after="0"/>
        <w:ind w:left="0" w:right="0" w:hanging="0"/>
        <w:jc w:val="both"/>
        <w:rPr>
          <w:rFonts w:ascii="PT Serif;serif" w:hAnsi="PT Serif;serif" w:eastAsia="Times New Roman" w:cs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  <w:sz w:val="32"/>
        </w:rPr>
      </w:pPr>
      <w:r>
        <w:rPr/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ascii="PT Serif;serif" w:hAnsi="PT Serif;serif" w:eastAsia="Times New Roman" w:cs="Times New Roman"/>
          <w:i w:val="false"/>
          <w:i w:val="false"/>
          <w:caps w:val="false"/>
          <w:smallCaps w:val="false"/>
          <w:color w:val="22272F"/>
          <w:spacing w:val="0"/>
          <w:sz w:val="32"/>
        </w:rPr>
      </w:pPr>
      <w:r>
        <w:rPr>
          <w:b/>
          <w:bCs/>
        </w:rPr>
      </w:r>
    </w:p>
    <w:p>
      <w:pPr>
        <w:pStyle w:val="Normal"/>
        <w:spacing w:lineRule="exact" w:line="240" w:before="0" w:after="0"/>
        <w:ind w:left="0" w:right="0" w:hanging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</w:rPr>
        <w:t>А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</w:rPr>
        <w:t>ССОЦИАЦИЯ ИНФОРМИРУЕТ!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both"/>
        <w:rPr>
          <w:rFonts w:eastAsia="Times New Roman" w:cs="Times New Roman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>Федеральны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 xml:space="preserve">м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 xml:space="preserve"> закон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>ом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 xml:space="preserve"> от 24 апреля 2020 г. № 124-ФЗ “О внесении изменений в отдельные законодательные акты Российской Федерации по вопросам обеспечения устойчивого развития экономики в условиях ухудшения ситуации в связи с распространением новой коронавирусной инфекции” </w:t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  <w:u w:val="single"/>
        </w:rPr>
        <w:t xml:space="preserve">внесены изменения в законодательство, регулирующее государственные закупки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(Федеральный закон от 18 июля 2011 года N223-Ф3 "О закупках товаров, работ, услуг отдельными видами юридических лиц",  Федеральный закон от 5 апреля 2013 года N 44-ФЗ "О контрактной системе в сфере закупок товаров, работ, услуг для обеспечения государственных и муниципальных нужд", Федеральный закон от 27 декабря 2019 года N 449-ФЗ 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нужд").</w:t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</w:r>
    </w:p>
    <w:p>
      <w:pPr>
        <w:pStyle w:val="Style15"/>
        <w:spacing w:lineRule="auto" w:line="240" w:before="0" w:after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Заказчик вправе установить в документации требование обеспечения гарантийных обязательств в случае установления требований к таким обязательствам. Размер обеспечения не может превышать 10% от начальной (максимальной) цены контракта. Размер обеспечения исполнения контракта устанавливается в размере от 0,5% до 30% начальной (максимальной) цены контракта.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  <w:t xml:space="preserve"> Если контракт предусматривает выплату аванса, то размер обеспечения должен составлять сумму не менее суммы аванса.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  <w:t xml:space="preserve"> Если аванс превышает 30% начальной (максимальной) цены контракта, то размер обеспечения должен быть равен авансу. Если расчеты по контракту в части выплаты аванса подлежат казначейскому сопровождению, то размер обеспечения должен быть равен размеру начальной (максимальной) цены контракта, уменьшенному на аванс. </w:t>
        <w:br/>
        <w:tab/>
        <w:t>Заказчик вправе не устанавливать требование обеспечения исполнения контракта, если расчеты по контракту подлежат казначейскому сопровождению. При установлении такого требования размер обеспечения устанавливается в размере до 10% от начальной (максимальной) цены контракта.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</w: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22272F"/>
          <w:spacing w:val="0"/>
          <w:sz w:val="24"/>
          <w:szCs w:val="24"/>
        </w:rPr>
        <w:t>С 300 тыс. до 600 тыс. руб. увеличена минимальная сумма закупки у единственного поставщика.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 При этом годовой объем таких закупок не должен превышать 10% процентов совокупного годового объема закупок (ранее - 5%). Остальные условия по объемам закупок сохранены.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ab/>
        <w:t xml:space="preserve">Закупки закрытым способом будут проводиться в т. ч. при выполнении гособоронзаказа в части создания, модернизации, поставки, ремонта, сервисного обслуживания и утилизации вооружения, военной и специальной техники, а также разработки, производства и поставки космической техники и объектов космической инфраструктуры. Сведения о таких закупках размещаться в ЕИС не будут. </w:t>
        <w:br/>
        <w:t xml:space="preserve">Федеральный закон вступает в силу со дня опубликования, за исключением отдельных положений, для которых предусмотрен иной срок.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 xml:space="preserve">С уважением 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eastAsia="Times New Roman" w:cs="Times New Roman"/>
          <w:b w:val="false"/>
          <w:b w:val="false"/>
          <w:i w:val="false"/>
          <w:i w:val="false"/>
          <w:caps w:val="false"/>
          <w:smallCaps w:val="false"/>
          <w:color w:val="22272F"/>
          <w:spacing w:val="0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22272F"/>
          <w:spacing w:val="0"/>
          <w:sz w:val="24"/>
          <w:szCs w:val="24"/>
        </w:rPr>
        <w:t>Исполнительная дирекция</w:t>
      </w:r>
    </w:p>
    <w:p>
      <w:pPr>
        <w:pStyle w:val="Normal"/>
        <w:spacing w:lineRule="auto" w:line="240" w:before="0" w:after="0"/>
        <w:ind w:left="0" w:right="0" w:hanging="0"/>
        <w:jc w:val="right"/>
        <w:rPr>
          <w:rFonts w:eastAsia="Times New Roman" w:cs="Times New Roman"/>
          <w:b/>
          <w:b/>
          <w:color w:val="auto"/>
          <w:spacing w:val="0"/>
        </w:rPr>
      </w:pPr>
      <w:r>
        <w:rPr>
          <w:rFonts w:ascii="Times New Roman" w:hAnsi="Times New Roman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PT Serif">
    <w:altName w:val="serif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Mangal"/>
        <w:kern w:val="2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Mangal"/>
      <w:color w:val="auto"/>
      <w:kern w:val="2"/>
      <w:sz w:val="22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SimSun" w:cs="Mangal"/>
      <w:b/>
      <w:bCs/>
      <w:sz w:val="36"/>
      <w:szCs w:val="36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FF"/>
      <w:spacing w:val="0"/>
      <w:sz w:val="22"/>
      <w:shd w:fill="auto" w:val="clear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rFonts w:ascii="PT Serif;serif" w:hAnsi="PT Serif;serif"/>
      <w:b w:val="false"/>
      <w:i w:val="false"/>
      <w:caps w:val="false"/>
      <w:smallCaps w:val="false"/>
      <w:strike w:val="false"/>
      <w:dstrike w:val="false"/>
      <w:color w:val="551A8B"/>
      <w:spacing w:val="0"/>
      <w:sz w:val="23"/>
      <w:u w:val="none"/>
      <w:effect w:val="none"/>
    </w:rPr>
  </w:style>
  <w:style w:type="character" w:styleId="ListLabel3">
    <w:name w:val="ListLabel 3"/>
    <w:qFormat/>
    <w:rPr>
      <w:rFonts w:ascii="PT Serif;serif" w:hAnsi="PT Serif;serif"/>
      <w:b w:val="false"/>
      <w:i w:val="false"/>
      <w:caps w:val="false"/>
      <w:smallCaps w:val="false"/>
      <w:strike w:val="false"/>
      <w:dstrike w:val="false"/>
      <w:color w:val="22272F"/>
      <w:spacing w:val="0"/>
      <w:sz w:val="23"/>
      <w:u w:val="none"/>
      <w:effect w:val="none"/>
    </w:rPr>
  </w:style>
  <w:style w:type="character" w:styleId="ListLabel4">
    <w:name w:val="ListLabel 4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551A8B"/>
      <w:spacing w:val="0"/>
      <w:sz w:val="24"/>
      <w:szCs w:val="24"/>
      <w:u w:val="none"/>
      <w:effect w:val="none"/>
    </w:rPr>
  </w:style>
  <w:style w:type="character" w:styleId="ListLabel5">
    <w:name w:val="ListLabel 5"/>
    <w:qFormat/>
    <w:rPr>
      <w:rFonts w:ascii="Times New Roman" w:hAnsi="Times New Roman"/>
      <w:strike w:val="false"/>
      <w:dstrike w:val="false"/>
      <w:color w:val="551A8B"/>
      <w:sz w:val="24"/>
      <w:szCs w:val="24"/>
      <w:u w:val="none"/>
      <w:effect w:val="none"/>
    </w:rPr>
  </w:style>
  <w:style w:type="character" w:styleId="ListLabel6">
    <w:name w:val="ListLabel 6"/>
    <w:qFormat/>
    <w:rPr>
      <w:rFonts w:ascii="PT Serif;serif" w:hAnsi="PT Serif;serif" w:eastAsia="Times New Roman" w:cs="Times New Roman"/>
      <w:b w:val="false"/>
      <w:i w:val="false"/>
      <w:caps w:val="false"/>
      <w:smallCaps w:val="false"/>
      <w:strike w:val="false"/>
      <w:dstrike w:val="false"/>
      <w:color w:val="551A8B"/>
      <w:spacing w:val="0"/>
      <w:sz w:val="23"/>
      <w:u w:val="none"/>
      <w:effect w:val="none"/>
    </w:rPr>
  </w:style>
  <w:style w:type="character" w:styleId="ListLabel7">
    <w:name w:val="ListLabel 7"/>
    <w:qFormat/>
    <w:rPr>
      <w:rFonts w:ascii="PT Serif;serif" w:hAnsi="PT Serif;serif"/>
      <w:b w:val="false"/>
      <w:bCs w:val="false"/>
      <w:i w:val="false"/>
      <w:caps w:val="false"/>
      <w:smallCaps w:val="false"/>
      <w:strike w:val="false"/>
      <w:dstrike w:val="false"/>
      <w:color w:val="551A8B"/>
      <w:spacing w:val="0"/>
      <w:sz w:val="23"/>
      <w:szCs w:val="26"/>
      <w:u w:val="none"/>
      <w:effect w:val="none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55</TotalTime>
  <Application>LibreOffice/6.2.8.2$Windows_x86 LibreOffice_project/f82ddfca21ebc1e222a662a32b25c0c9d20169ee</Application>
  <Pages>1</Pages>
  <Words>349</Words>
  <Characters>2363</Characters>
  <CharactersWithSpaces>2720</CharactersWithSpaces>
  <Paragraphs>10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2020-04-27T11:22:10Z</dcterms:modified>
  <cp:revision>18</cp:revision>
  <dc:subject/>
  <dc:title/>
</cp:coreProperties>
</file>